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1" w:type="dxa"/>
        <w:jc w:val="center"/>
        <w:tblBorders>
          <w:top w:val="single" w:sz="2" w:space="0" w:color="004D43"/>
          <w:left w:val="single" w:sz="2" w:space="0" w:color="004D43"/>
          <w:bottom w:val="single" w:sz="2" w:space="0" w:color="004D43"/>
          <w:right w:val="single" w:sz="2" w:space="0" w:color="004D43"/>
          <w:insideH w:val="single" w:sz="2" w:space="0" w:color="004D43"/>
          <w:insideV w:val="single" w:sz="2" w:space="0" w:color="004D43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873"/>
        <w:gridCol w:w="9638"/>
      </w:tblGrid>
      <w:tr w:rsidR="00111AD5" w:rsidRPr="00713BF2" w:rsidTr="00436302">
        <w:trPr>
          <w:cantSplit/>
          <w:jc w:val="center"/>
        </w:trPr>
        <w:tc>
          <w:tcPr>
            <w:tcW w:w="10511" w:type="dxa"/>
            <w:gridSpan w:val="2"/>
            <w:tcBorders>
              <w:bottom w:val="single" w:sz="2" w:space="0" w:color="004D43"/>
            </w:tcBorders>
            <w:shd w:val="clear" w:color="auto" w:fill="004D43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111AD5" w:rsidRPr="007E51C6" w:rsidRDefault="009148D6" w:rsidP="009148D6">
            <w:pPr>
              <w:spacing w:before="240"/>
              <w:ind w:left="191"/>
              <w:jc w:val="center"/>
              <w:rPr>
                <w:color w:val="FFFFFF" w:themeColor="background1"/>
                <w:sz w:val="40"/>
                <w:szCs w:val="40"/>
              </w:rPr>
            </w:pPr>
            <w:r w:rsidRPr="007E51C6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3E4A6C2C" wp14:editId="482497A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107950</wp:posOffset>
                  </wp:positionV>
                  <wp:extent cx="1079500" cy="775970"/>
                  <wp:effectExtent l="0" t="0" r="6350" b="5080"/>
                  <wp:wrapNone/>
                  <wp:docPr id="15" name="Tijdelijke aanduiding voor afbeelding 1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ijdelijke aanduiding voor afbeelding 1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" r="3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FFFF" w:themeColor="background1"/>
                <w:sz w:val="40"/>
                <w:szCs w:val="40"/>
              </w:rPr>
              <w:tab/>
            </w:r>
            <w:r>
              <w:rPr>
                <w:color w:val="FFFFFF" w:themeColor="background1"/>
                <w:sz w:val="40"/>
                <w:szCs w:val="40"/>
              </w:rPr>
              <w:tab/>
            </w:r>
            <w:r w:rsidR="00111AD5" w:rsidRPr="007E51C6">
              <w:rPr>
                <w:color w:val="FFFFFF" w:themeColor="background1"/>
                <w:sz w:val="40"/>
                <w:szCs w:val="40"/>
              </w:rPr>
              <w:t>Leergang Bedrijfsvoering &amp; Management</w:t>
            </w:r>
          </w:p>
          <w:p w:rsidR="00BD6ABD" w:rsidRPr="00FA02C5" w:rsidRDefault="009148D6" w:rsidP="009148D6">
            <w:pPr>
              <w:spacing w:before="240" w:after="240"/>
              <w:ind w:left="191"/>
              <w:jc w:val="center"/>
              <w:rPr>
                <w:rFonts w:ascii="Glacial Indifference" w:hAnsi="Glacial Indifference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ab/>
            </w:r>
            <w:r>
              <w:rPr>
                <w:color w:val="FFFFFF" w:themeColor="background1"/>
                <w:sz w:val="32"/>
                <w:szCs w:val="32"/>
              </w:rPr>
              <w:tab/>
            </w:r>
            <w:r w:rsidR="00592469" w:rsidRPr="00FA02C5">
              <w:rPr>
                <w:color w:val="FFFFFF" w:themeColor="background1"/>
                <w:sz w:val="32"/>
                <w:szCs w:val="32"/>
              </w:rPr>
              <w:t>voor medisch specialisten</w:t>
            </w:r>
            <w:r w:rsidR="00996B4B">
              <w:rPr>
                <w:color w:val="FFFFFF" w:themeColor="background1"/>
                <w:sz w:val="32"/>
                <w:szCs w:val="32"/>
              </w:rPr>
              <w:t xml:space="preserve"> en (ziekenhuis)apothekers</w:t>
            </w:r>
          </w:p>
        </w:tc>
      </w:tr>
      <w:tr w:rsidR="00111AD5" w:rsidRPr="00713BF2" w:rsidTr="00660E0B">
        <w:trPr>
          <w:cantSplit/>
          <w:trHeight w:hRule="exact" w:val="284"/>
          <w:jc w:val="center"/>
        </w:trPr>
        <w:tc>
          <w:tcPr>
            <w:tcW w:w="10511" w:type="dxa"/>
            <w:gridSpan w:val="2"/>
            <w:shd w:val="clear" w:color="auto" w:fill="E8941A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111AD5" w:rsidRPr="00713BF2" w:rsidRDefault="00111AD5" w:rsidP="00556631">
            <w:pPr>
              <w:pStyle w:val="Datum"/>
              <w:ind w:left="758"/>
              <w:rPr>
                <w:color w:val="00463F"/>
              </w:rPr>
            </w:pPr>
          </w:p>
          <w:p w:rsidR="00111AD5" w:rsidRPr="00713BF2" w:rsidRDefault="00111AD5" w:rsidP="00111AD5">
            <w:pPr>
              <w:pStyle w:val="Jaargang"/>
              <w:ind w:left="284" w:right="-170"/>
              <w:rPr>
                <w:color w:val="00463F"/>
              </w:rPr>
            </w:pPr>
            <w:r w:rsidRPr="00713BF2">
              <w:rPr>
                <w:color w:val="00463F"/>
              </w:rPr>
              <w:t xml:space="preserve">Jaargang 1, nummer </w:t>
            </w:r>
            <w:r>
              <w:rPr>
                <w:color w:val="00463F"/>
              </w:rPr>
              <w:t>2</w:t>
            </w:r>
          </w:p>
        </w:tc>
      </w:tr>
      <w:tr w:rsidR="00AF3F43" w:rsidRPr="00713BF2" w:rsidTr="00436302">
        <w:trPr>
          <w:cantSplit/>
          <w:jc w:val="center"/>
        </w:trPr>
        <w:tc>
          <w:tcPr>
            <w:tcW w:w="873" w:type="dxa"/>
            <w:tcBorders>
              <w:bottom w:val="single" w:sz="2" w:space="0" w:color="004D43"/>
            </w:tcBorders>
            <w:shd w:val="clear" w:color="auto" w:fill="CEE0DB"/>
          </w:tcPr>
          <w:p w:rsidR="00F477FD" w:rsidRDefault="00F477FD" w:rsidP="008C2FA0"/>
          <w:p w:rsidR="00F477FD" w:rsidRDefault="00F477FD" w:rsidP="008C2FA0"/>
          <w:p w:rsidR="0078435B" w:rsidRDefault="00F477FD" w:rsidP="00F477FD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EDA6F9B" wp14:editId="5CF85EE7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21590</wp:posOffset>
                  </wp:positionV>
                  <wp:extent cx="432000" cy="432000"/>
                  <wp:effectExtent l="0" t="0" r="6350" b="6350"/>
                  <wp:wrapNone/>
                  <wp:docPr id="3" name="Afbeelding 3" descr="http://www.freeiconspng.com/uploads/physician-icon-png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eiconspng.com/uploads/physician-icon-png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B679E9" w:rsidRDefault="00B679E9" w:rsidP="00F477FD"/>
          <w:p w:rsidR="00364155" w:rsidRDefault="00364155" w:rsidP="00F477FD"/>
          <w:p w:rsidR="00364155" w:rsidRDefault="00364155" w:rsidP="00F477FD"/>
          <w:p w:rsidR="00364155" w:rsidRDefault="00E71E29" w:rsidP="00F477F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4BC8EB4" wp14:editId="40BB5DFE">
                  <wp:simplePos x="0" y="0"/>
                  <wp:positionH relativeFrom="column">
                    <wp:posOffset>-108840</wp:posOffset>
                  </wp:positionH>
                  <wp:positionV relativeFrom="paragraph">
                    <wp:posOffset>125739</wp:posOffset>
                  </wp:positionV>
                  <wp:extent cx="431800" cy="431800"/>
                  <wp:effectExtent l="0" t="0" r="6350" b="6350"/>
                  <wp:wrapNone/>
                  <wp:docPr id="13" name="Afbeelding 13" descr="http://www.skinadmin.nl/img/icon/icon-kwalitei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kinadmin.nl/img/icon/icon-kwalitei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155" w:rsidRDefault="00364155" w:rsidP="00F477FD"/>
          <w:p w:rsidR="00364155" w:rsidRDefault="00364155" w:rsidP="00F477FD"/>
          <w:p w:rsidR="00623375" w:rsidRDefault="00623375" w:rsidP="00F477FD"/>
          <w:p w:rsidR="00623375" w:rsidRDefault="00623375" w:rsidP="00F477FD"/>
          <w:p w:rsidR="00623375" w:rsidRDefault="00623375" w:rsidP="00F477FD"/>
          <w:p w:rsidR="00623375" w:rsidRDefault="00623375" w:rsidP="00F477FD"/>
          <w:p w:rsidR="00623375" w:rsidRDefault="00623375" w:rsidP="00F477FD"/>
          <w:p w:rsidR="00623375" w:rsidRDefault="00623375" w:rsidP="00F477FD"/>
          <w:p w:rsidR="00364155" w:rsidRPr="008C2FA0" w:rsidRDefault="00364155" w:rsidP="00F477FD"/>
        </w:tc>
        <w:tc>
          <w:tcPr>
            <w:tcW w:w="9638" w:type="dxa"/>
            <w:tcBorders>
              <w:bottom w:val="single" w:sz="2" w:space="0" w:color="004D43"/>
            </w:tcBorders>
          </w:tcPr>
          <w:p w:rsidR="00713BF2" w:rsidRPr="00EC7B68" w:rsidRDefault="00B736FC" w:rsidP="00BB0E71">
            <w:pPr>
              <w:spacing w:before="240" w:after="120"/>
              <w:rPr>
                <w:b/>
                <w:sz w:val="26"/>
                <w:szCs w:val="40"/>
              </w:rPr>
            </w:pPr>
            <w:bookmarkStart w:id="0" w:name="Terug"/>
            <w:bookmarkEnd w:id="0"/>
            <w:r w:rsidRPr="00EC7B68">
              <w:rPr>
                <w:b/>
                <w:sz w:val="26"/>
                <w:szCs w:val="40"/>
              </w:rPr>
              <w:t>Voor wie</w:t>
            </w:r>
            <w:r w:rsidR="00592469">
              <w:rPr>
                <w:b/>
                <w:sz w:val="26"/>
                <w:szCs w:val="40"/>
              </w:rPr>
              <w:t>?</w:t>
            </w:r>
            <w:r w:rsidR="005B271F">
              <w:rPr>
                <w:noProof/>
              </w:rPr>
              <w:t xml:space="preserve"> </w:t>
            </w:r>
          </w:p>
          <w:p w:rsidR="009D4CD3" w:rsidRPr="00EC7B68" w:rsidRDefault="00B736FC" w:rsidP="00FA02C5">
            <w:r w:rsidRPr="00EC7B68">
              <w:t>De leergang bedrijfsvoering en management is voor alle medische specialisten en (ziekenhuis)</w:t>
            </w:r>
            <w:r w:rsidRPr="00EC7B68">
              <w:softHyphen/>
              <w:t>apothekers</w:t>
            </w:r>
            <w:r w:rsidR="0053030C">
              <w:t xml:space="preserve"> en enkele (ouderejaars) arts</w:t>
            </w:r>
            <w:r w:rsidR="00DD73EF">
              <w:t>-</w:t>
            </w:r>
            <w:r w:rsidR="0053030C">
              <w:t>assistenten</w:t>
            </w:r>
            <w:r w:rsidRPr="00EC7B68">
              <w:t xml:space="preserve"> van de Sint Maartenskliniek. Iedere groep bestaat uit minimaal 10 en maximaal 15 deelnemers. </w:t>
            </w:r>
          </w:p>
          <w:p w:rsidR="00B736FC" w:rsidRPr="00D35552" w:rsidRDefault="00B736FC" w:rsidP="00FA02C5">
            <w:pPr>
              <w:spacing w:before="360" w:after="120"/>
              <w:rPr>
                <w:b/>
                <w:sz w:val="26"/>
                <w:szCs w:val="40"/>
              </w:rPr>
            </w:pPr>
            <w:r w:rsidRPr="00EC7B68">
              <w:rPr>
                <w:b/>
                <w:sz w:val="26"/>
                <w:szCs w:val="40"/>
              </w:rPr>
              <w:t>Wanneer</w:t>
            </w:r>
            <w:r w:rsidR="00592469">
              <w:rPr>
                <w:b/>
                <w:sz w:val="26"/>
                <w:szCs w:val="40"/>
              </w:rPr>
              <w:t>?</w:t>
            </w:r>
          </w:p>
          <w:p w:rsidR="00B75D04" w:rsidRDefault="00A040B4" w:rsidP="00FA02C5">
            <w:r>
              <w:t>I</w:t>
            </w:r>
            <w:r w:rsidR="000807ED">
              <w:t>n het</w:t>
            </w:r>
            <w:r w:rsidR="00724E58">
              <w:t xml:space="preserve"> najaar </w:t>
            </w:r>
            <w:r w:rsidR="00587ACE">
              <w:t xml:space="preserve">van </w:t>
            </w:r>
            <w:r w:rsidR="00227732">
              <w:t>2020 / begin 2021</w:t>
            </w:r>
            <w:r w:rsidR="009F0078">
              <w:t xml:space="preserve"> </w:t>
            </w:r>
            <w:r w:rsidR="00587ACE">
              <w:t>is er een middag</w:t>
            </w:r>
            <w:r w:rsidR="000807ED">
              <w:t>uitvoering</w:t>
            </w:r>
            <w:r w:rsidR="008F27EB">
              <w:t xml:space="preserve"> </w:t>
            </w:r>
            <w:r>
              <w:t xml:space="preserve">van de leergang </w:t>
            </w:r>
            <w:r w:rsidR="008F27EB">
              <w:t>gepland</w:t>
            </w:r>
            <w:r w:rsidR="00724E58">
              <w:t xml:space="preserve">. </w:t>
            </w:r>
          </w:p>
          <w:p w:rsidR="00CF4FB3" w:rsidRDefault="00587ACE" w:rsidP="00FA02C5">
            <w:r>
              <w:rPr>
                <w:b/>
              </w:rPr>
              <w:t>Middag</w:t>
            </w:r>
            <w:r w:rsidR="000807ED">
              <w:rPr>
                <w:b/>
              </w:rPr>
              <w:t xml:space="preserve">uitvoering </w:t>
            </w:r>
            <w:r w:rsidR="000807ED">
              <w:t>van 1</w:t>
            </w:r>
            <w:r w:rsidR="0028351F">
              <w:t>3.30</w:t>
            </w:r>
            <w:r w:rsidR="000807ED">
              <w:t xml:space="preserve"> – 1</w:t>
            </w:r>
            <w:r w:rsidR="0028351F">
              <w:t>7</w:t>
            </w:r>
            <w:r w:rsidR="000807ED">
              <w:t>.</w:t>
            </w:r>
            <w:r w:rsidR="0028351F">
              <w:t>00</w:t>
            </w:r>
            <w:r w:rsidR="000807ED">
              <w:t xml:space="preserve"> uur op: </w:t>
            </w:r>
          </w:p>
          <w:p w:rsidR="00CF4FB3" w:rsidRDefault="0028351F" w:rsidP="00FA02C5">
            <w:r>
              <w:t>19 november 2020</w:t>
            </w:r>
            <w:r w:rsidR="000807ED">
              <w:t xml:space="preserve"> (</w:t>
            </w:r>
            <w:r w:rsidR="009F0078">
              <w:t>Q2.0</w:t>
            </w:r>
            <w:r>
              <w:t>5</w:t>
            </w:r>
            <w:r w:rsidR="000807ED">
              <w:t xml:space="preserve">) </w:t>
            </w:r>
          </w:p>
          <w:p w:rsidR="00BA716F" w:rsidRDefault="0028351F" w:rsidP="00FA02C5">
            <w:r>
              <w:t>7 december 2020</w:t>
            </w:r>
            <w:r w:rsidR="009F0078">
              <w:t xml:space="preserve"> </w:t>
            </w:r>
            <w:r w:rsidR="000807ED">
              <w:t>(</w:t>
            </w:r>
            <w:r w:rsidR="003363C0">
              <w:t>Q2.07)</w:t>
            </w:r>
          </w:p>
          <w:p w:rsidR="000807ED" w:rsidRPr="000807ED" w:rsidRDefault="00E958D8" w:rsidP="00FA02C5">
            <w:r>
              <w:t>12 januari 2021 (Q2.07)</w:t>
            </w:r>
          </w:p>
          <w:p w:rsidR="000807ED" w:rsidRPr="00EC7B68" w:rsidRDefault="000807ED" w:rsidP="000807ED"/>
          <w:p w:rsidR="00B736FC" w:rsidRPr="00EC7B68" w:rsidRDefault="0019281E" w:rsidP="00FA02C5">
            <w:r w:rsidRPr="0019281E">
              <w:t>B</w:t>
            </w:r>
            <w:r w:rsidR="00B75D04" w:rsidRPr="0019281E">
              <w:t>i</w:t>
            </w:r>
            <w:r w:rsidR="00920ABF">
              <w:t xml:space="preserve">j inschrijving wordt </w:t>
            </w:r>
            <w:r w:rsidR="00B75D04" w:rsidRPr="00EC7B68">
              <w:t>verwacht</w:t>
            </w:r>
            <w:r w:rsidR="000807ED">
              <w:t xml:space="preserve"> </w:t>
            </w:r>
            <w:r w:rsidR="00920ABF">
              <w:t xml:space="preserve">dat je </w:t>
            </w:r>
            <w:r w:rsidR="000807ED">
              <w:t xml:space="preserve">bij alle drie de bijeenkomsten </w:t>
            </w:r>
            <w:r w:rsidR="009F0078">
              <w:t>van de betreffende uitvoering</w:t>
            </w:r>
            <w:r w:rsidR="00920ABF">
              <w:t xml:space="preserve"> aanwezig bent</w:t>
            </w:r>
            <w:r w:rsidR="009F0078">
              <w:t>.</w:t>
            </w:r>
          </w:p>
          <w:p w:rsidR="00B736FC" w:rsidRPr="00D35552" w:rsidRDefault="00B736FC" w:rsidP="00FA02C5">
            <w:pPr>
              <w:spacing w:before="360" w:after="120"/>
              <w:rPr>
                <w:b/>
                <w:sz w:val="26"/>
                <w:szCs w:val="40"/>
              </w:rPr>
            </w:pPr>
            <w:r w:rsidRPr="00EC7B68">
              <w:rPr>
                <w:b/>
                <w:sz w:val="26"/>
                <w:szCs w:val="40"/>
              </w:rPr>
              <w:t>Accreditatie</w:t>
            </w:r>
          </w:p>
          <w:p w:rsidR="00B736FC" w:rsidRPr="00EC7B68" w:rsidRDefault="0014032D" w:rsidP="00FA02C5">
            <w:r w:rsidRPr="0014032D">
              <w:t xml:space="preserve">Accreditatie is toegekend door het Accreditatiebureau Algemene Nascholing (ABAN) met 8 punten. </w:t>
            </w:r>
            <w:r w:rsidR="0019281E" w:rsidRPr="0014032D">
              <w:t xml:space="preserve">Accreditatie wordt alleen toegekend bij volledige deelname aan alle drie de </w:t>
            </w:r>
            <w:r w:rsidR="008A4458" w:rsidRPr="0014032D">
              <w:t xml:space="preserve">bijeenkomsten </w:t>
            </w:r>
            <w:r w:rsidR="0019281E" w:rsidRPr="0014032D">
              <w:t>van de leergang.</w:t>
            </w:r>
            <w:r w:rsidR="000807ED">
              <w:t xml:space="preserve"> </w:t>
            </w:r>
          </w:p>
          <w:p w:rsidR="00B736FC" w:rsidRPr="00D35552" w:rsidRDefault="00B736FC" w:rsidP="00FA02C5">
            <w:pPr>
              <w:spacing w:before="360" w:after="120"/>
              <w:rPr>
                <w:b/>
                <w:sz w:val="26"/>
                <w:szCs w:val="40"/>
              </w:rPr>
            </w:pPr>
            <w:r w:rsidRPr="00EC7B68">
              <w:rPr>
                <w:b/>
                <w:sz w:val="26"/>
                <w:szCs w:val="40"/>
              </w:rPr>
              <w:t>Programma</w:t>
            </w:r>
          </w:p>
          <w:p w:rsidR="00B736FC" w:rsidRPr="00EC7B68" w:rsidRDefault="00B736FC" w:rsidP="00FA02C5">
            <w:r w:rsidRPr="00EC7B68">
              <w:t>Ieder dagdeel wordt ingevuld met korte interactieve presentaties door inhoudsdeskundigen uit eigen huis afgewisseld met concrete opdrachten. Het programma is flexibel van opzet.</w:t>
            </w:r>
          </w:p>
          <w:p w:rsidR="00EC7B68" w:rsidRDefault="007A2496" w:rsidP="00BB0E71">
            <w:pPr>
              <w:spacing w:before="120"/>
            </w:pPr>
            <w:r>
              <w:pict>
                <v:rect id="_x0000_i1027" style="width:450.25pt;height:1pt;mso-position-horizontal:absolute" o:hralign="center" o:hrstd="t" o:hrnoshade="t" o:hr="t" fillcolor="#cee0db" stroked="f"/>
              </w:pict>
            </w:r>
          </w:p>
          <w:p w:rsidR="00EC7B68" w:rsidRPr="00803E07" w:rsidRDefault="00EC7B68" w:rsidP="00FA02C5">
            <w:pPr>
              <w:spacing w:before="360" w:after="240"/>
              <w:rPr>
                <w:b/>
                <w:i/>
                <w:sz w:val="22"/>
                <w:szCs w:val="22"/>
              </w:rPr>
            </w:pPr>
            <w:r w:rsidRPr="00803E07">
              <w:rPr>
                <w:b/>
                <w:i/>
                <w:sz w:val="22"/>
                <w:szCs w:val="22"/>
              </w:rPr>
              <w:t xml:space="preserve">Dag 1: </w:t>
            </w:r>
            <w:proofErr w:type="spellStart"/>
            <w:r w:rsidRPr="00803E07">
              <w:rPr>
                <w:b/>
                <w:i/>
                <w:sz w:val="22"/>
                <w:szCs w:val="22"/>
              </w:rPr>
              <w:t>Governance</w:t>
            </w:r>
            <w:proofErr w:type="spellEnd"/>
            <w:r w:rsidRPr="00803E07">
              <w:rPr>
                <w:b/>
                <w:i/>
                <w:sz w:val="22"/>
                <w:szCs w:val="22"/>
              </w:rPr>
              <w:t>, financiën &amp; zorgverkoop</w:t>
            </w:r>
          </w:p>
          <w:p w:rsidR="00776D00" w:rsidRDefault="00EC7B68" w:rsidP="00FA02C5">
            <w:r w:rsidRPr="00EC7B68">
              <w:t xml:space="preserve">Het eerste dagdeel staat in het teken van de besturing van het ziekenhuis en alle financiële ontwikkelingen die belangrijk zijn voor een ziekenhuis op </w:t>
            </w:r>
            <w:r w:rsidR="00D1422C" w:rsidRPr="00EC7B68">
              <w:t>concernniveau</w:t>
            </w:r>
            <w:r w:rsidRPr="00EC7B68">
              <w:t xml:space="preserve">. </w:t>
            </w:r>
          </w:p>
          <w:p w:rsidR="00660E0B" w:rsidRDefault="00660E0B" w:rsidP="00FA02C5"/>
          <w:p w:rsidR="00EC7B68" w:rsidRDefault="00EC7B68" w:rsidP="00FA02C5">
            <w:r w:rsidRPr="00EC7B68">
              <w:t xml:space="preserve">Dit dagdeel wordt verzorgd door </w:t>
            </w:r>
            <w:r w:rsidR="0028351F">
              <w:t>David de Vries</w:t>
            </w:r>
            <w:r w:rsidRPr="00EC7B68">
              <w:t xml:space="preserve"> en Jeroen van Duren. Specifiek wordt aandacht besteed aan de volgende onderwerpen: </w:t>
            </w:r>
          </w:p>
          <w:p w:rsidR="00D35552" w:rsidRDefault="00D35552" w:rsidP="00FA02C5"/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D</w:t>
            </w:r>
            <w:r w:rsidR="00803E07">
              <w:t>e verantwoordelijkheid</w:t>
            </w:r>
            <w:r>
              <w:t xml:space="preserve"> </w:t>
            </w:r>
            <w:r w:rsidR="00803E07">
              <w:t>en (globale) werkwijze van de Raad van Bestuur</w:t>
            </w:r>
            <w:r>
              <w:t>.</w:t>
            </w:r>
            <w:r w:rsidR="00803E07">
              <w:t xml:space="preserve"> 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De</w:t>
            </w:r>
            <w:r w:rsidR="00803E07">
              <w:t xml:space="preserve"> wijze waarop besluitvorming in een ziekenhuis tot stand komt</w:t>
            </w:r>
            <w:r>
              <w:t>.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Het</w:t>
            </w:r>
            <w:r w:rsidR="00803E07">
              <w:t xml:space="preserve"> netwerk van partijen die bij</w:t>
            </w:r>
            <w:r>
              <w:t xml:space="preserve"> de</w:t>
            </w:r>
            <w:r w:rsidR="00803E07">
              <w:t xml:space="preserve"> besluitvorming betrokken zijn, alsmede de rol van iedere afzonderlijke partij en de onderlinge verhoudingen tussen hen met specifieke aandacht voor de positie van de medisch specialist hierin</w:t>
            </w:r>
            <w:r>
              <w:t>.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De</w:t>
            </w:r>
            <w:r w:rsidR="00803E07">
              <w:t xml:space="preserve"> belangrijkste externe stakeholders van het ziekenhuis en welke invloed zij hebben op de besturing van het ziekenhuis</w:t>
            </w:r>
            <w:r>
              <w:t>.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De</w:t>
            </w:r>
            <w:r w:rsidR="00803E07">
              <w:t xml:space="preserve"> balans en exploitatierekening van een ziekenhuis en specifiek </w:t>
            </w:r>
            <w:r>
              <w:t xml:space="preserve">van de </w:t>
            </w:r>
            <w:r w:rsidR="00803E07">
              <w:t>SMK</w:t>
            </w:r>
            <w:r>
              <w:t>.</w:t>
            </w:r>
            <w:r w:rsidR="00803E07">
              <w:t xml:space="preserve"> 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G</w:t>
            </w:r>
            <w:r w:rsidR="00803E07">
              <w:t>eldstromen naar het ziekenhuis en geldstromen in het ziekenhuis;</w:t>
            </w:r>
          </w:p>
          <w:p w:rsidR="00803E07" w:rsidRDefault="00F24BC5" w:rsidP="00FA02C5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</w:t>
            </w:r>
            <w:r w:rsidR="00803E07">
              <w:t>oe komen prijsafspraken in onderhandeling met de zorgverzekeraar tot stand en welke rol speelt de medisch specialist hierin</w:t>
            </w:r>
            <w:r>
              <w:t>? E</w:t>
            </w:r>
            <w:r w:rsidR="00803E07">
              <w:t xml:space="preserve">en inkijk in het gehele proces van zorgverkoop: DOT prijs, plafonds, </w:t>
            </w:r>
            <w:proofErr w:type="spellStart"/>
            <w:r w:rsidR="00803E07">
              <w:t>add</w:t>
            </w:r>
            <w:proofErr w:type="spellEnd"/>
            <w:r w:rsidR="002354DB">
              <w:t xml:space="preserve"> </w:t>
            </w:r>
            <w:r w:rsidR="00803E07">
              <w:t>on</w:t>
            </w:r>
            <w:r w:rsidR="002354DB">
              <w:t>-</w:t>
            </w:r>
            <w:r w:rsidR="00803E07">
              <w:t>regelingen et</w:t>
            </w:r>
            <w:r w:rsidR="002354DB">
              <w:t xml:space="preserve"> cetera</w:t>
            </w:r>
            <w:r>
              <w:t>.</w:t>
            </w:r>
          </w:p>
          <w:p w:rsidR="00BB0E71" w:rsidRDefault="00F24BC5" w:rsidP="00BB0E71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Welke</w:t>
            </w:r>
            <w:r w:rsidR="00803E07">
              <w:t xml:space="preserve"> invloed heeft </w:t>
            </w:r>
            <w:r>
              <w:t xml:space="preserve">de </w:t>
            </w:r>
            <w:r w:rsidR="00803E07">
              <w:t>overheid en</w:t>
            </w:r>
            <w:r>
              <w:t xml:space="preserve"> de</w:t>
            </w:r>
            <w:r w:rsidR="00803E07">
              <w:t xml:space="preserve"> verzekeraar op de geldstromen en welke invloed kan een medisch spec</w:t>
            </w:r>
            <w:r w:rsidR="00C93383">
              <w:t>ialist hierop</w:t>
            </w:r>
            <w:r>
              <w:t xml:space="preserve"> uitoefenen?</w:t>
            </w:r>
          </w:p>
          <w:p w:rsidR="00660E0B" w:rsidRPr="00EC7B68" w:rsidRDefault="00660E0B" w:rsidP="00660E0B">
            <w:pPr>
              <w:pStyle w:val="Lijstalinea"/>
              <w:ind w:left="357"/>
            </w:pPr>
          </w:p>
        </w:tc>
      </w:tr>
      <w:tr w:rsidR="00436302" w:rsidRPr="007D7C93" w:rsidTr="00660E0B">
        <w:trPr>
          <w:cantSplit/>
          <w:trHeight w:val="284"/>
          <w:jc w:val="center"/>
        </w:trPr>
        <w:tc>
          <w:tcPr>
            <w:tcW w:w="10511" w:type="dxa"/>
            <w:gridSpan w:val="2"/>
            <w:shd w:val="clear" w:color="auto" w:fill="004D43"/>
            <w:vAlign w:val="center"/>
          </w:tcPr>
          <w:p w:rsidR="00436302" w:rsidRPr="007D7C93" w:rsidRDefault="00436302" w:rsidP="00436302">
            <w:pPr>
              <w:tabs>
                <w:tab w:val="left" w:pos="377"/>
              </w:tabs>
              <w:rPr>
                <w:rStyle w:val="NieuwsbriefTekstgroenebalk"/>
              </w:rPr>
            </w:pPr>
          </w:p>
        </w:tc>
      </w:tr>
      <w:tr w:rsidR="009148D6" w:rsidRPr="00713BF2" w:rsidTr="00B75D04">
        <w:trPr>
          <w:cantSplit/>
          <w:jc w:val="center"/>
        </w:trPr>
        <w:tc>
          <w:tcPr>
            <w:tcW w:w="10511" w:type="dxa"/>
            <w:gridSpan w:val="2"/>
            <w:tcBorders>
              <w:bottom w:val="single" w:sz="2" w:space="0" w:color="004D43"/>
            </w:tcBorders>
            <w:shd w:val="clear" w:color="auto" w:fill="004D43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9148D6" w:rsidRPr="00FA02C5" w:rsidRDefault="009148D6" w:rsidP="00B75D04">
            <w:pPr>
              <w:spacing w:before="240" w:after="240"/>
              <w:ind w:left="191"/>
              <w:jc w:val="center"/>
              <w:rPr>
                <w:rFonts w:ascii="Glacial Indifference" w:hAnsi="Glacial Indifference"/>
                <w:color w:val="FFFFFF" w:themeColor="background1"/>
                <w:sz w:val="32"/>
                <w:szCs w:val="32"/>
              </w:rPr>
            </w:pPr>
          </w:p>
        </w:tc>
      </w:tr>
      <w:tr w:rsidR="00436302" w:rsidRPr="00713BF2" w:rsidTr="00660E0B">
        <w:trPr>
          <w:cantSplit/>
          <w:trHeight w:hRule="exact" w:val="284"/>
          <w:jc w:val="center"/>
        </w:trPr>
        <w:tc>
          <w:tcPr>
            <w:tcW w:w="10511" w:type="dxa"/>
            <w:gridSpan w:val="2"/>
            <w:shd w:val="clear" w:color="auto" w:fill="E8941A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436302" w:rsidRPr="00713BF2" w:rsidRDefault="00436302" w:rsidP="00436302">
            <w:pPr>
              <w:pStyle w:val="Jaargang"/>
              <w:ind w:left="284" w:right="-170"/>
              <w:rPr>
                <w:color w:val="00463F"/>
              </w:rPr>
            </w:pPr>
          </w:p>
        </w:tc>
      </w:tr>
      <w:tr w:rsidR="00436302" w:rsidRPr="00102217" w:rsidTr="00436302">
        <w:trPr>
          <w:cantSplit/>
          <w:jc w:val="center"/>
        </w:trPr>
        <w:tc>
          <w:tcPr>
            <w:tcW w:w="873" w:type="dxa"/>
            <w:tcBorders>
              <w:bottom w:val="single" w:sz="2" w:space="0" w:color="004D43"/>
            </w:tcBorders>
            <w:shd w:val="clear" w:color="auto" w:fill="CEE0DB"/>
          </w:tcPr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590DC1" w:rsidP="00436302">
            <w:pPr>
              <w:rPr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2816" behindDoc="0" locked="0" layoutInCell="1" allowOverlap="1" wp14:anchorId="54E7FEC0" wp14:editId="6325013C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18415</wp:posOffset>
                  </wp:positionV>
                  <wp:extent cx="395605" cy="365760"/>
                  <wp:effectExtent l="0" t="0" r="4445" b="0"/>
                  <wp:wrapNone/>
                  <wp:docPr id="19" name="Afbeelding 19" descr="http://www.magnus.nl/wp-content/uploads/2015/07/aanmeldbutton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gnus.nl/wp-content/uploads/2015/07/aanmeldbutton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Default="00436302" w:rsidP="00436302">
            <w:pPr>
              <w:rPr>
                <w:noProof/>
              </w:rPr>
            </w:pPr>
          </w:p>
          <w:p w:rsidR="00436302" w:rsidRPr="008C2FA0" w:rsidRDefault="00436302" w:rsidP="00436302">
            <w:pPr>
              <w:rPr>
                <w:noProof/>
              </w:rPr>
            </w:pPr>
          </w:p>
        </w:tc>
        <w:tc>
          <w:tcPr>
            <w:tcW w:w="9638" w:type="dxa"/>
            <w:tcBorders>
              <w:bottom w:val="single" w:sz="2" w:space="0" w:color="004D43"/>
            </w:tcBorders>
          </w:tcPr>
          <w:p w:rsidR="00436302" w:rsidRPr="0043443E" w:rsidRDefault="00436302" w:rsidP="00436302">
            <w:pPr>
              <w:spacing w:before="360" w:after="240"/>
              <w:rPr>
                <w:b/>
                <w:i/>
                <w:sz w:val="22"/>
                <w:szCs w:val="22"/>
              </w:rPr>
            </w:pPr>
            <w:r w:rsidRPr="0043443E">
              <w:rPr>
                <w:b/>
                <w:i/>
                <w:sz w:val="22"/>
                <w:szCs w:val="22"/>
              </w:rPr>
              <w:t xml:space="preserve">Dag </w:t>
            </w:r>
            <w:r w:rsidR="00E958D8">
              <w:rPr>
                <w:b/>
                <w:i/>
                <w:sz w:val="22"/>
                <w:szCs w:val="22"/>
              </w:rPr>
              <w:t>2</w:t>
            </w:r>
            <w:r w:rsidRPr="0043443E">
              <w:rPr>
                <w:b/>
                <w:i/>
                <w:sz w:val="22"/>
                <w:szCs w:val="22"/>
              </w:rPr>
              <w:t>: Zorgmanagement en P&amp;O</w:t>
            </w:r>
          </w:p>
          <w:p w:rsidR="00436302" w:rsidRDefault="00436302" w:rsidP="00436302">
            <w:r>
              <w:t xml:space="preserve">Tijdens dit dagdeel wordt aandacht besteed aan P&amp;O en zorgmanagement op het niveau van het bedrijfsonderdeel. </w:t>
            </w:r>
          </w:p>
          <w:p w:rsidR="00471DCA" w:rsidRDefault="00471DCA" w:rsidP="00436302">
            <w:bookmarkStart w:id="1" w:name="_GoBack"/>
            <w:bookmarkEnd w:id="1"/>
          </w:p>
          <w:p w:rsidR="00436302" w:rsidRDefault="00436302" w:rsidP="00436302">
            <w:r>
              <w:t xml:space="preserve">Deze bijeenkomst wordt verzorgd door Jannes van der Werf en </w:t>
            </w:r>
            <w:r w:rsidR="009F0078">
              <w:t>Wendy Koster</w:t>
            </w:r>
            <w:r>
              <w:t xml:space="preserve"> met de volgende inhoud:</w:t>
            </w:r>
          </w:p>
          <w:p w:rsidR="00436302" w:rsidRPr="00537FAB" w:rsidRDefault="00436302" w:rsidP="00436302"/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Hoe werkt duaal management?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 xml:space="preserve">Hoe werkt het logistieke bedrijf en wat is de impact daarvan op de bedrijfsvoering? 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Hoe sturen wij bij de SMK op productie? (verrichtingen, DOTS, productiviteitscijfers)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Waarop verantwoorden wij ons en hoe?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Hoe werken we samen binnen de SMK?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Hoe selecteer je medewerkers die goed passen bij onze kernwaarden?</w:t>
            </w:r>
          </w:p>
          <w:p w:rsidR="00436302" w:rsidRDefault="00436302" w:rsidP="00436302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>
              <w:t>Hoe ga je om met soms (schijnbaar) tegengestelde belangen van de medewerker en de belangen van de organisatie?</w:t>
            </w:r>
          </w:p>
          <w:p w:rsidR="00E958D8" w:rsidRPr="0013412B" w:rsidRDefault="00E958D8" w:rsidP="00E958D8">
            <w:pPr>
              <w:spacing w:before="240" w:after="240"/>
              <w:rPr>
                <w:b/>
                <w:i/>
                <w:sz w:val="22"/>
                <w:szCs w:val="22"/>
              </w:rPr>
            </w:pPr>
            <w:r w:rsidRPr="0013412B">
              <w:rPr>
                <w:b/>
                <w:i/>
                <w:sz w:val="22"/>
                <w:szCs w:val="22"/>
              </w:rPr>
              <w:t xml:space="preserve">Dag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13412B">
              <w:rPr>
                <w:b/>
                <w:i/>
                <w:sz w:val="22"/>
                <w:szCs w:val="22"/>
              </w:rPr>
              <w:t xml:space="preserve">: Kwaliteit &amp; veiligheid en ICT </w:t>
            </w:r>
          </w:p>
          <w:p w:rsidR="00E958D8" w:rsidRDefault="00E958D8" w:rsidP="00E958D8">
            <w:r>
              <w:t>Tijdens dit dagdeel wordt verder ingegaan op kwaliteit &amp; veiligheid en ICT.</w:t>
            </w:r>
          </w:p>
          <w:p w:rsidR="00E958D8" w:rsidRDefault="00E958D8" w:rsidP="00E958D8"/>
          <w:p w:rsidR="00E958D8" w:rsidRDefault="00E958D8" w:rsidP="00E958D8">
            <w:r>
              <w:t xml:space="preserve">Dit dagdeel wordt verzorgd door Saskia Vonk en Casper Hesp. De volgende onderwerpen krijgen specifieke aandacht: </w:t>
            </w:r>
          </w:p>
          <w:p w:rsidR="00E958D8" w:rsidRDefault="00E958D8" w:rsidP="00E958D8"/>
          <w:p w:rsidR="00E958D8" w:rsidRPr="0060226D" w:rsidRDefault="00E958D8" w:rsidP="00E958D8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 w:rsidRPr="0060226D">
              <w:t xml:space="preserve">Hoe ziet het kwaliteit &amp; veiligheidssysteem in het ziekenhuis eruit? Welke eisen stelt de overheid hieraan? Welke rol heeft de medisch specialist in dit geheel? </w:t>
            </w:r>
          </w:p>
          <w:p w:rsidR="00E958D8" w:rsidRPr="0060226D" w:rsidRDefault="00E958D8" w:rsidP="00E958D8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 w:rsidRPr="0060226D">
              <w:t>Welk gradaties kennen we als er iets “niet goed gaat”? (incidenten, calamiteiten, veiligheid/</w:t>
            </w:r>
            <w:r>
              <w:t xml:space="preserve"> </w:t>
            </w:r>
            <w:r w:rsidRPr="0060226D">
              <w:t>kwaliteit en organisatie)</w:t>
            </w:r>
            <w:r>
              <w:t>.</w:t>
            </w:r>
          </w:p>
          <w:p w:rsidR="00E958D8" w:rsidRPr="0060226D" w:rsidRDefault="00E958D8" w:rsidP="00E958D8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 w:rsidRPr="0060226D">
              <w:t xml:space="preserve">Wat kan/moet ik zelf doen als er per ongeluk toch iets niet goed gaat? </w:t>
            </w:r>
          </w:p>
          <w:p w:rsidR="00E958D8" w:rsidRPr="00BD267D" w:rsidRDefault="00E958D8" w:rsidP="00E958D8">
            <w:pPr>
              <w:pStyle w:val="Lijstalinea"/>
              <w:numPr>
                <w:ilvl w:val="0"/>
                <w:numId w:val="21"/>
              </w:numPr>
              <w:ind w:left="357" w:hanging="357"/>
            </w:pPr>
            <w:r w:rsidRPr="00BD267D">
              <w:t>Wat zijn de ker</w:t>
            </w:r>
            <w:r>
              <w:t>n</w:t>
            </w:r>
            <w:r w:rsidRPr="00BD267D">
              <w:t>taken van ICT en de risico’s van datalekken</w:t>
            </w:r>
            <w:r>
              <w:t>?</w:t>
            </w:r>
            <w:r w:rsidRPr="00BD267D">
              <w:t xml:space="preserve"> Welke verantwoordelijkheid ligt bij de medisch specialist?</w:t>
            </w:r>
          </w:p>
          <w:p w:rsidR="00E958D8" w:rsidRDefault="00E958D8" w:rsidP="00660E0B">
            <w:pPr>
              <w:spacing w:before="120"/>
            </w:pPr>
          </w:p>
          <w:p w:rsidR="00E958D8" w:rsidRDefault="00E958D8" w:rsidP="00660E0B">
            <w:pPr>
              <w:spacing w:before="120"/>
            </w:pPr>
          </w:p>
          <w:p w:rsidR="00E958D8" w:rsidRDefault="00E958D8" w:rsidP="00660E0B">
            <w:pPr>
              <w:spacing w:before="120"/>
            </w:pPr>
          </w:p>
          <w:p w:rsidR="00436302" w:rsidRDefault="007A2496" w:rsidP="00660E0B">
            <w:pPr>
              <w:spacing w:before="120"/>
            </w:pPr>
            <w:r>
              <w:pict>
                <v:rect id="_x0000_i1028" style="width:450.25pt;height:1pt;mso-position-horizontal:absolute" o:hralign="center" o:hrstd="t" o:hrnoshade="t" o:hr="t" fillcolor="#cee0db" stroked="f"/>
              </w:pict>
            </w:r>
          </w:p>
          <w:p w:rsidR="00436302" w:rsidRPr="006538F2" w:rsidRDefault="00436302" w:rsidP="00436302">
            <w:pPr>
              <w:spacing w:before="360" w:after="120"/>
              <w:rPr>
                <w:b/>
                <w:sz w:val="26"/>
                <w:szCs w:val="40"/>
              </w:rPr>
            </w:pPr>
            <w:r w:rsidRPr="006538F2">
              <w:rPr>
                <w:b/>
                <w:sz w:val="26"/>
                <w:szCs w:val="40"/>
              </w:rPr>
              <w:t>Aanmelden</w:t>
            </w:r>
          </w:p>
          <w:p w:rsidR="00FE53AF" w:rsidRDefault="00920ABF" w:rsidP="00FE53AF">
            <w:pPr>
              <w:spacing w:line="288" w:lineRule="auto"/>
            </w:pPr>
            <w:r>
              <w:t>Je kunt je</w:t>
            </w:r>
            <w:r w:rsidR="00436302">
              <w:t xml:space="preserve"> aanmelden via </w:t>
            </w:r>
            <w:r w:rsidR="00FE53AF">
              <w:t>de digitale leeromgeving.</w:t>
            </w:r>
          </w:p>
          <w:p w:rsidR="00FE53AF" w:rsidRDefault="00FE53AF" w:rsidP="00FE53AF">
            <w:pPr>
              <w:spacing w:line="288" w:lineRule="auto"/>
            </w:pPr>
            <w:r>
              <w:t xml:space="preserve">Zie hiervoor ook de handleiding voor inschrijving die als bijlage bij deze uitnodiging is gevoegd.  </w:t>
            </w:r>
          </w:p>
          <w:p w:rsidR="00FE53AF" w:rsidRDefault="00FE53AF" w:rsidP="00436302">
            <w:pPr>
              <w:spacing w:line="288" w:lineRule="auto"/>
            </w:pPr>
          </w:p>
          <w:p w:rsidR="00436302" w:rsidRDefault="00436302" w:rsidP="00436302">
            <w:pPr>
              <w:spacing w:line="288" w:lineRule="auto"/>
            </w:pPr>
            <w:r>
              <w:t xml:space="preserve">Er zijn geen kosten verbonden aan deelname. </w:t>
            </w:r>
          </w:p>
          <w:p w:rsidR="00436302" w:rsidRPr="006538F2" w:rsidRDefault="00436302" w:rsidP="00436302">
            <w:pPr>
              <w:spacing w:before="360" w:after="120"/>
              <w:rPr>
                <w:b/>
                <w:sz w:val="26"/>
                <w:szCs w:val="40"/>
              </w:rPr>
            </w:pPr>
            <w:r w:rsidRPr="006538F2">
              <w:rPr>
                <w:b/>
                <w:sz w:val="26"/>
                <w:szCs w:val="40"/>
              </w:rPr>
              <w:t>Informatie</w:t>
            </w:r>
          </w:p>
          <w:p w:rsidR="00436302" w:rsidRDefault="00920ABF" w:rsidP="00436302">
            <w:pPr>
              <w:spacing w:line="288" w:lineRule="auto"/>
            </w:pPr>
            <w:r>
              <w:t>Heb je</w:t>
            </w:r>
            <w:r w:rsidR="00436302">
              <w:t xml:space="preserve"> vragen over deze leergang? Neem dan contact op met de Maartensacademie per-email: </w:t>
            </w:r>
          </w:p>
          <w:p w:rsidR="00436302" w:rsidRDefault="007A2496" w:rsidP="00436302">
            <w:pPr>
              <w:spacing w:line="288" w:lineRule="auto"/>
            </w:pPr>
            <w:hyperlink r:id="rId13" w:history="1">
              <w:r w:rsidR="00FE53AF" w:rsidRPr="006F4A9F">
                <w:rPr>
                  <w:rStyle w:val="Hyperlink"/>
                </w:rPr>
                <w:t>maartensacademie@maartenskliniek.nl</w:t>
              </w:r>
            </w:hyperlink>
            <w:r w:rsidR="00436302">
              <w:t xml:space="preserve"> of telefonisch: (024-365) 9719.</w:t>
            </w:r>
          </w:p>
          <w:p w:rsidR="00436302" w:rsidRDefault="00436302" w:rsidP="00436302"/>
          <w:p w:rsidR="001D1122" w:rsidRPr="00102217" w:rsidRDefault="001D1122" w:rsidP="00436302"/>
        </w:tc>
      </w:tr>
      <w:tr w:rsidR="00436302" w:rsidRPr="007D7C93" w:rsidTr="00660E0B">
        <w:trPr>
          <w:cantSplit/>
          <w:trHeight w:val="284"/>
          <w:jc w:val="center"/>
        </w:trPr>
        <w:tc>
          <w:tcPr>
            <w:tcW w:w="10511" w:type="dxa"/>
            <w:gridSpan w:val="2"/>
            <w:shd w:val="clear" w:color="auto" w:fill="004D43"/>
            <w:vAlign w:val="center"/>
          </w:tcPr>
          <w:p w:rsidR="00436302" w:rsidRPr="007D7C93" w:rsidRDefault="00436302" w:rsidP="00436302">
            <w:pPr>
              <w:tabs>
                <w:tab w:val="left" w:pos="377"/>
              </w:tabs>
              <w:rPr>
                <w:rStyle w:val="NieuwsbriefTekstgroenebalk"/>
              </w:rPr>
            </w:pPr>
          </w:p>
        </w:tc>
      </w:tr>
    </w:tbl>
    <w:p w:rsidR="00BD78CB" w:rsidRDefault="00BD78CB" w:rsidP="00E71E29"/>
    <w:sectPr w:rsidR="00BD78CB" w:rsidSect="001D1122">
      <w:pgSz w:w="11907" w:h="16839" w:code="9"/>
      <w:pgMar w:top="567" w:right="720" w:bottom="28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CE" w:rsidRDefault="00587ACE">
      <w:r>
        <w:separator/>
      </w:r>
    </w:p>
  </w:endnote>
  <w:endnote w:type="continuationSeparator" w:id="0">
    <w:p w:rsidR="00587ACE" w:rsidRDefault="005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CE" w:rsidRDefault="00587ACE">
      <w:r>
        <w:separator/>
      </w:r>
    </w:p>
  </w:footnote>
  <w:footnote w:type="continuationSeparator" w:id="0">
    <w:p w:rsidR="00587ACE" w:rsidRDefault="0058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numPicBullet w:numPicBulletId="1">
    <w:pict>
      <v:shape id="_x0000_i1027" type="#_x0000_t75" style="width:82.5pt;height:48.75pt;visibility:visible;mso-wrap-style:square" o:bullet="t">
        <v:imagedata r:id="rId2" o:title="logo klein"/>
      </v:shape>
    </w:pict>
  </w:numPicBullet>
  <w:abstractNum w:abstractNumId="0" w15:restartNumberingAfterBreak="0">
    <w:nsid w:val="FFFFFF7C"/>
    <w:multiLevelType w:val="singleLevel"/>
    <w:tmpl w:val="6C8CB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8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4C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AA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20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C9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0A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C2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81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42D1A"/>
    <w:multiLevelType w:val="hybridMultilevel"/>
    <w:tmpl w:val="B4720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0198D"/>
    <w:multiLevelType w:val="hybridMultilevel"/>
    <w:tmpl w:val="7A601B26"/>
    <w:lvl w:ilvl="0" w:tplc="A816F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710F6"/>
    <w:multiLevelType w:val="hybridMultilevel"/>
    <w:tmpl w:val="A8F41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7C51"/>
    <w:multiLevelType w:val="hybridMultilevel"/>
    <w:tmpl w:val="8F0A0614"/>
    <w:lvl w:ilvl="0" w:tplc="DE5CF9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005E"/>
    <w:multiLevelType w:val="hybridMultilevel"/>
    <w:tmpl w:val="9650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3D4C"/>
    <w:multiLevelType w:val="hybridMultilevel"/>
    <w:tmpl w:val="8982C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3D5"/>
    <w:multiLevelType w:val="hybridMultilevel"/>
    <w:tmpl w:val="8432D0CA"/>
    <w:lvl w:ilvl="0" w:tplc="18524E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567A"/>
    <w:multiLevelType w:val="hybridMultilevel"/>
    <w:tmpl w:val="ABB81D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D7A6D"/>
    <w:multiLevelType w:val="hybridMultilevel"/>
    <w:tmpl w:val="CB2CEE56"/>
    <w:lvl w:ilvl="0" w:tplc="C4F44F7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2C90"/>
    <w:multiLevelType w:val="multilevel"/>
    <w:tmpl w:val="B49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22578"/>
    <w:multiLevelType w:val="hybridMultilevel"/>
    <w:tmpl w:val="9A6000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A411DD"/>
    <w:multiLevelType w:val="hybridMultilevel"/>
    <w:tmpl w:val="7B6654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BA2538">
      <w:start w:val="42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E7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64F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56BE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E27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0E08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2A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6AB2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</w:num>
  <w:num w:numId="17">
    <w:abstractNumId w:val="13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18"/>
  </w:num>
  <w:num w:numId="23">
    <w:abstractNumId w:val="22"/>
  </w:num>
  <w:num w:numId="24">
    <w:abstractNumId w:val="23"/>
  </w:num>
  <w:num w:numId="25">
    <w:abstractNumId w:val="10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E2"/>
    <w:rsid w:val="0000775C"/>
    <w:rsid w:val="000131F6"/>
    <w:rsid w:val="00041D43"/>
    <w:rsid w:val="00054263"/>
    <w:rsid w:val="000638F3"/>
    <w:rsid w:val="00074282"/>
    <w:rsid w:val="000807ED"/>
    <w:rsid w:val="00096455"/>
    <w:rsid w:val="000A2D2E"/>
    <w:rsid w:val="000A3804"/>
    <w:rsid w:val="000A39C1"/>
    <w:rsid w:val="000A459A"/>
    <w:rsid w:val="000B2D1D"/>
    <w:rsid w:val="000C0A7D"/>
    <w:rsid w:val="000C4E83"/>
    <w:rsid w:val="000C5459"/>
    <w:rsid w:val="000D72ED"/>
    <w:rsid w:val="000D7E43"/>
    <w:rsid w:val="000E63AD"/>
    <w:rsid w:val="000F646B"/>
    <w:rsid w:val="00102217"/>
    <w:rsid w:val="00105268"/>
    <w:rsid w:val="00105961"/>
    <w:rsid w:val="00111AD5"/>
    <w:rsid w:val="001317B6"/>
    <w:rsid w:val="0013412B"/>
    <w:rsid w:val="001368D8"/>
    <w:rsid w:val="0014032D"/>
    <w:rsid w:val="00141244"/>
    <w:rsid w:val="001468AD"/>
    <w:rsid w:val="00152347"/>
    <w:rsid w:val="001606B4"/>
    <w:rsid w:val="00163DBE"/>
    <w:rsid w:val="00171309"/>
    <w:rsid w:val="0017153A"/>
    <w:rsid w:val="0018690A"/>
    <w:rsid w:val="00191981"/>
    <w:rsid w:val="0019281E"/>
    <w:rsid w:val="001A1071"/>
    <w:rsid w:val="001B3F4B"/>
    <w:rsid w:val="001C1F1A"/>
    <w:rsid w:val="001C40D8"/>
    <w:rsid w:val="001D1122"/>
    <w:rsid w:val="001D15E2"/>
    <w:rsid w:val="001D38CE"/>
    <w:rsid w:val="001E07FD"/>
    <w:rsid w:val="001F3F38"/>
    <w:rsid w:val="00204847"/>
    <w:rsid w:val="002056B5"/>
    <w:rsid w:val="00212AA2"/>
    <w:rsid w:val="00227732"/>
    <w:rsid w:val="00231BED"/>
    <w:rsid w:val="002354DB"/>
    <w:rsid w:val="00243B7C"/>
    <w:rsid w:val="00273F21"/>
    <w:rsid w:val="002800B9"/>
    <w:rsid w:val="00282103"/>
    <w:rsid w:val="0028351F"/>
    <w:rsid w:val="0029733D"/>
    <w:rsid w:val="002A2DE3"/>
    <w:rsid w:val="002B4D25"/>
    <w:rsid w:val="002D52A2"/>
    <w:rsid w:val="002F4965"/>
    <w:rsid w:val="0030555C"/>
    <w:rsid w:val="003131F1"/>
    <w:rsid w:val="0031355B"/>
    <w:rsid w:val="00326E75"/>
    <w:rsid w:val="00330D1A"/>
    <w:rsid w:val="00334990"/>
    <w:rsid w:val="003350E7"/>
    <w:rsid w:val="003363C0"/>
    <w:rsid w:val="00361797"/>
    <w:rsid w:val="00363D2F"/>
    <w:rsid w:val="00364155"/>
    <w:rsid w:val="0037669E"/>
    <w:rsid w:val="003A564C"/>
    <w:rsid w:val="003B6628"/>
    <w:rsid w:val="003C2206"/>
    <w:rsid w:val="003C450B"/>
    <w:rsid w:val="003C79A1"/>
    <w:rsid w:val="003E1F0D"/>
    <w:rsid w:val="003E3F75"/>
    <w:rsid w:val="003F0C91"/>
    <w:rsid w:val="003F1E9A"/>
    <w:rsid w:val="003F4156"/>
    <w:rsid w:val="004075D6"/>
    <w:rsid w:val="00420013"/>
    <w:rsid w:val="00422129"/>
    <w:rsid w:val="00423B2E"/>
    <w:rsid w:val="00433593"/>
    <w:rsid w:val="0043443E"/>
    <w:rsid w:val="00436302"/>
    <w:rsid w:val="00451755"/>
    <w:rsid w:val="004522A2"/>
    <w:rsid w:val="00452D8E"/>
    <w:rsid w:val="0045654B"/>
    <w:rsid w:val="00460798"/>
    <w:rsid w:val="004663AD"/>
    <w:rsid w:val="00471DCA"/>
    <w:rsid w:val="00477711"/>
    <w:rsid w:val="00480C00"/>
    <w:rsid w:val="00490C05"/>
    <w:rsid w:val="004944CA"/>
    <w:rsid w:val="004A7F83"/>
    <w:rsid w:val="004C446F"/>
    <w:rsid w:val="004C59CA"/>
    <w:rsid w:val="004D6ABB"/>
    <w:rsid w:val="004E17E9"/>
    <w:rsid w:val="004E2952"/>
    <w:rsid w:val="004E7547"/>
    <w:rsid w:val="004F752E"/>
    <w:rsid w:val="00511A68"/>
    <w:rsid w:val="005247EC"/>
    <w:rsid w:val="0053030C"/>
    <w:rsid w:val="005304A2"/>
    <w:rsid w:val="00531EF0"/>
    <w:rsid w:val="005432E3"/>
    <w:rsid w:val="00551FEC"/>
    <w:rsid w:val="005555E2"/>
    <w:rsid w:val="00556631"/>
    <w:rsid w:val="00566003"/>
    <w:rsid w:val="00566737"/>
    <w:rsid w:val="00567295"/>
    <w:rsid w:val="0057604B"/>
    <w:rsid w:val="005838CB"/>
    <w:rsid w:val="00585C62"/>
    <w:rsid w:val="00587ACE"/>
    <w:rsid w:val="00590DC1"/>
    <w:rsid w:val="00592469"/>
    <w:rsid w:val="005936B4"/>
    <w:rsid w:val="00596C74"/>
    <w:rsid w:val="005B271F"/>
    <w:rsid w:val="005B407D"/>
    <w:rsid w:val="005B49B1"/>
    <w:rsid w:val="005D01FE"/>
    <w:rsid w:val="005E1DAD"/>
    <w:rsid w:val="005E2590"/>
    <w:rsid w:val="0060226D"/>
    <w:rsid w:val="00607CAA"/>
    <w:rsid w:val="006135E6"/>
    <w:rsid w:val="00623375"/>
    <w:rsid w:val="00623C0F"/>
    <w:rsid w:val="00637A3D"/>
    <w:rsid w:val="0064303A"/>
    <w:rsid w:val="00646F69"/>
    <w:rsid w:val="0065253A"/>
    <w:rsid w:val="006538F2"/>
    <w:rsid w:val="00660A3A"/>
    <w:rsid w:val="00660E0B"/>
    <w:rsid w:val="00665C8C"/>
    <w:rsid w:val="00667E98"/>
    <w:rsid w:val="00675EBA"/>
    <w:rsid w:val="00680B0C"/>
    <w:rsid w:val="00683969"/>
    <w:rsid w:val="006856A9"/>
    <w:rsid w:val="00696FE2"/>
    <w:rsid w:val="006A2495"/>
    <w:rsid w:val="006B0198"/>
    <w:rsid w:val="006B028D"/>
    <w:rsid w:val="006B0F5B"/>
    <w:rsid w:val="006B5FB6"/>
    <w:rsid w:val="006C4B0D"/>
    <w:rsid w:val="006C6B79"/>
    <w:rsid w:val="006D55F8"/>
    <w:rsid w:val="006D5611"/>
    <w:rsid w:val="006D607D"/>
    <w:rsid w:val="006E6383"/>
    <w:rsid w:val="006F6548"/>
    <w:rsid w:val="006F6DC9"/>
    <w:rsid w:val="00700E72"/>
    <w:rsid w:val="0070431B"/>
    <w:rsid w:val="00712A75"/>
    <w:rsid w:val="0071303C"/>
    <w:rsid w:val="00713BF2"/>
    <w:rsid w:val="00714E05"/>
    <w:rsid w:val="0072133F"/>
    <w:rsid w:val="00724E58"/>
    <w:rsid w:val="007373DC"/>
    <w:rsid w:val="007378B6"/>
    <w:rsid w:val="00750A18"/>
    <w:rsid w:val="0076484B"/>
    <w:rsid w:val="00771F09"/>
    <w:rsid w:val="00774DEE"/>
    <w:rsid w:val="00776D00"/>
    <w:rsid w:val="00777517"/>
    <w:rsid w:val="00782EB9"/>
    <w:rsid w:val="00783A83"/>
    <w:rsid w:val="007840F1"/>
    <w:rsid w:val="0078435B"/>
    <w:rsid w:val="007855E6"/>
    <w:rsid w:val="0078560F"/>
    <w:rsid w:val="00790144"/>
    <w:rsid w:val="007A0767"/>
    <w:rsid w:val="007A2496"/>
    <w:rsid w:val="007B046E"/>
    <w:rsid w:val="007B2A39"/>
    <w:rsid w:val="007C6A60"/>
    <w:rsid w:val="007D06B9"/>
    <w:rsid w:val="007D1391"/>
    <w:rsid w:val="007D3272"/>
    <w:rsid w:val="007D7C93"/>
    <w:rsid w:val="007E4D7E"/>
    <w:rsid w:val="007E51C6"/>
    <w:rsid w:val="007F2F78"/>
    <w:rsid w:val="00803E07"/>
    <w:rsid w:val="00813C9A"/>
    <w:rsid w:val="0081790E"/>
    <w:rsid w:val="00821285"/>
    <w:rsid w:val="0082389E"/>
    <w:rsid w:val="00827E2B"/>
    <w:rsid w:val="008364BE"/>
    <w:rsid w:val="00837DF8"/>
    <w:rsid w:val="008439C4"/>
    <w:rsid w:val="00847716"/>
    <w:rsid w:val="00863EE1"/>
    <w:rsid w:val="008748D3"/>
    <w:rsid w:val="008778BB"/>
    <w:rsid w:val="008877D0"/>
    <w:rsid w:val="00887C3B"/>
    <w:rsid w:val="008A0DD4"/>
    <w:rsid w:val="008A4458"/>
    <w:rsid w:val="008B38DC"/>
    <w:rsid w:val="008B5F3B"/>
    <w:rsid w:val="008C2FA0"/>
    <w:rsid w:val="008D4033"/>
    <w:rsid w:val="008D654C"/>
    <w:rsid w:val="008D744D"/>
    <w:rsid w:val="008F27EB"/>
    <w:rsid w:val="008F2B1F"/>
    <w:rsid w:val="008F63BD"/>
    <w:rsid w:val="008F74AC"/>
    <w:rsid w:val="0090380A"/>
    <w:rsid w:val="009147D1"/>
    <w:rsid w:val="009148D6"/>
    <w:rsid w:val="00914F8C"/>
    <w:rsid w:val="00920ABF"/>
    <w:rsid w:val="00922B89"/>
    <w:rsid w:val="00925270"/>
    <w:rsid w:val="009270BB"/>
    <w:rsid w:val="0093763B"/>
    <w:rsid w:val="00955824"/>
    <w:rsid w:val="00955915"/>
    <w:rsid w:val="00966356"/>
    <w:rsid w:val="00970F4D"/>
    <w:rsid w:val="009842B1"/>
    <w:rsid w:val="00991909"/>
    <w:rsid w:val="00996B4B"/>
    <w:rsid w:val="009B1F37"/>
    <w:rsid w:val="009B6D71"/>
    <w:rsid w:val="009C68BA"/>
    <w:rsid w:val="009C77B8"/>
    <w:rsid w:val="009D4CD3"/>
    <w:rsid w:val="009E3519"/>
    <w:rsid w:val="009E61D6"/>
    <w:rsid w:val="009F0078"/>
    <w:rsid w:val="00A040B4"/>
    <w:rsid w:val="00A31DB3"/>
    <w:rsid w:val="00A35F8E"/>
    <w:rsid w:val="00A539C2"/>
    <w:rsid w:val="00A64F96"/>
    <w:rsid w:val="00A658AD"/>
    <w:rsid w:val="00A67AC6"/>
    <w:rsid w:val="00A97DC3"/>
    <w:rsid w:val="00AA07E9"/>
    <w:rsid w:val="00AA42D4"/>
    <w:rsid w:val="00AA5623"/>
    <w:rsid w:val="00AA5AE6"/>
    <w:rsid w:val="00AC016F"/>
    <w:rsid w:val="00AC3D63"/>
    <w:rsid w:val="00AD2FB6"/>
    <w:rsid w:val="00AF1B86"/>
    <w:rsid w:val="00AF3F43"/>
    <w:rsid w:val="00B00A16"/>
    <w:rsid w:val="00B05496"/>
    <w:rsid w:val="00B1223D"/>
    <w:rsid w:val="00B2776E"/>
    <w:rsid w:val="00B31167"/>
    <w:rsid w:val="00B530AC"/>
    <w:rsid w:val="00B62881"/>
    <w:rsid w:val="00B679E9"/>
    <w:rsid w:val="00B736FC"/>
    <w:rsid w:val="00B74CDE"/>
    <w:rsid w:val="00B75D04"/>
    <w:rsid w:val="00B8379B"/>
    <w:rsid w:val="00B84980"/>
    <w:rsid w:val="00B91FCD"/>
    <w:rsid w:val="00BA0B33"/>
    <w:rsid w:val="00BA6CCC"/>
    <w:rsid w:val="00BA716F"/>
    <w:rsid w:val="00BB0E71"/>
    <w:rsid w:val="00BB7AD5"/>
    <w:rsid w:val="00BD1747"/>
    <w:rsid w:val="00BD1B06"/>
    <w:rsid w:val="00BD6ABD"/>
    <w:rsid w:val="00BD78CB"/>
    <w:rsid w:val="00BE0008"/>
    <w:rsid w:val="00BF29B8"/>
    <w:rsid w:val="00C11063"/>
    <w:rsid w:val="00C11B7F"/>
    <w:rsid w:val="00C16337"/>
    <w:rsid w:val="00C30DDE"/>
    <w:rsid w:val="00C33417"/>
    <w:rsid w:val="00C34E2E"/>
    <w:rsid w:val="00C4314A"/>
    <w:rsid w:val="00C93383"/>
    <w:rsid w:val="00CA2514"/>
    <w:rsid w:val="00CB3F3B"/>
    <w:rsid w:val="00CC2C13"/>
    <w:rsid w:val="00CD597B"/>
    <w:rsid w:val="00CD5EB2"/>
    <w:rsid w:val="00CE134F"/>
    <w:rsid w:val="00CE1C4B"/>
    <w:rsid w:val="00CE2998"/>
    <w:rsid w:val="00CE44A9"/>
    <w:rsid w:val="00CE46DC"/>
    <w:rsid w:val="00CE54DA"/>
    <w:rsid w:val="00CF4FB3"/>
    <w:rsid w:val="00D0221D"/>
    <w:rsid w:val="00D10074"/>
    <w:rsid w:val="00D12C46"/>
    <w:rsid w:val="00D1422C"/>
    <w:rsid w:val="00D20A48"/>
    <w:rsid w:val="00D21538"/>
    <w:rsid w:val="00D35552"/>
    <w:rsid w:val="00D37528"/>
    <w:rsid w:val="00D415F7"/>
    <w:rsid w:val="00D440A4"/>
    <w:rsid w:val="00D62C77"/>
    <w:rsid w:val="00D67152"/>
    <w:rsid w:val="00D76BFC"/>
    <w:rsid w:val="00D928B1"/>
    <w:rsid w:val="00D9748E"/>
    <w:rsid w:val="00DA60BE"/>
    <w:rsid w:val="00DA7095"/>
    <w:rsid w:val="00DC1C19"/>
    <w:rsid w:val="00DC352C"/>
    <w:rsid w:val="00DD0440"/>
    <w:rsid w:val="00DD73EF"/>
    <w:rsid w:val="00DD7F60"/>
    <w:rsid w:val="00DE220E"/>
    <w:rsid w:val="00DE70D1"/>
    <w:rsid w:val="00E111CD"/>
    <w:rsid w:val="00E20B31"/>
    <w:rsid w:val="00E21272"/>
    <w:rsid w:val="00E24ADC"/>
    <w:rsid w:val="00E2610B"/>
    <w:rsid w:val="00E32250"/>
    <w:rsid w:val="00E37ABD"/>
    <w:rsid w:val="00E422D8"/>
    <w:rsid w:val="00E47C91"/>
    <w:rsid w:val="00E5389F"/>
    <w:rsid w:val="00E54197"/>
    <w:rsid w:val="00E54510"/>
    <w:rsid w:val="00E55A83"/>
    <w:rsid w:val="00E55C6C"/>
    <w:rsid w:val="00E62B7B"/>
    <w:rsid w:val="00E71E29"/>
    <w:rsid w:val="00E8342B"/>
    <w:rsid w:val="00E86249"/>
    <w:rsid w:val="00E958D8"/>
    <w:rsid w:val="00EA1F82"/>
    <w:rsid w:val="00EB549B"/>
    <w:rsid w:val="00EB73BA"/>
    <w:rsid w:val="00EC2C56"/>
    <w:rsid w:val="00EC7B68"/>
    <w:rsid w:val="00ED3069"/>
    <w:rsid w:val="00EE2340"/>
    <w:rsid w:val="00EF6530"/>
    <w:rsid w:val="00F24BC5"/>
    <w:rsid w:val="00F267DF"/>
    <w:rsid w:val="00F311DD"/>
    <w:rsid w:val="00F335E0"/>
    <w:rsid w:val="00F33C51"/>
    <w:rsid w:val="00F4236F"/>
    <w:rsid w:val="00F477FD"/>
    <w:rsid w:val="00F52FB0"/>
    <w:rsid w:val="00F60599"/>
    <w:rsid w:val="00F677A7"/>
    <w:rsid w:val="00F92D6A"/>
    <w:rsid w:val="00F95DA9"/>
    <w:rsid w:val="00F978E8"/>
    <w:rsid w:val="00FA02C5"/>
    <w:rsid w:val="00FA76AF"/>
    <w:rsid w:val="00FB7548"/>
    <w:rsid w:val="00FC0F40"/>
    <w:rsid w:val="00FC4530"/>
    <w:rsid w:val="00FC68C1"/>
    <w:rsid w:val="00FE180C"/>
    <w:rsid w:val="00FE53AF"/>
    <w:rsid w:val="00FE5F1C"/>
    <w:rsid w:val="00FF1448"/>
    <w:rsid w:val="00FF33D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CC8DC"/>
  <w15:docId w15:val="{1185C5F8-C413-40F5-B03E-50E2A19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Verdana"/>
        <w:color w:val="00463F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C016F"/>
    <w:pPr>
      <w:spacing w:line="260" w:lineRule="atLeast"/>
    </w:p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Standaard"/>
    <w:next w:val="Standaard"/>
    <w:qFormat/>
    <w:rsid w:val="00B31167"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sid w:val="0057604B"/>
    <w:rPr>
      <w:caps/>
      <w:color w:val="004D43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NieuwsbriefKop3">
    <w:name w:val="Nieuwsbrief Kop 3"/>
    <w:basedOn w:val="Standaard"/>
    <w:rsid w:val="00777517"/>
    <w:pPr>
      <w:spacing w:after="120"/>
    </w:pPr>
    <w:rPr>
      <w:rFonts w:cs="Times New Roman"/>
      <w:u w:val="single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character" w:customStyle="1" w:styleId="NieuwsbriefTekstgroenebalk">
    <w:name w:val="Nieuwsbrief Tekst groene balk"/>
    <w:basedOn w:val="Standaardalinea-lettertype"/>
    <w:rsid w:val="007D7C93"/>
    <w:rPr>
      <w:rFonts w:ascii="Trebuchet MS" w:hAnsi="Trebuchet MS"/>
      <w:caps/>
      <w:smallCaps w:val="0"/>
      <w:color w:val="FFFFFF" w:themeColor="background1"/>
      <w:spacing w:val="10"/>
      <w:sz w:val="18"/>
      <w:u w:val="none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uiPriority w:val="99"/>
    <w:rsid w:val="004A7F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F0C91"/>
    <w:rPr>
      <w:color w:val="800080" w:themeColor="followedHyperlink"/>
      <w:u w:val="single"/>
    </w:rPr>
  </w:style>
  <w:style w:type="paragraph" w:customStyle="1" w:styleId="NieuwsbriefHOOFDKOP">
    <w:name w:val="Nieuwsbrief HOOFDKOP"/>
    <w:basedOn w:val="Standaard"/>
    <w:rsid w:val="002D52A2"/>
    <w:pPr>
      <w:jc w:val="center"/>
    </w:pPr>
    <w:rPr>
      <w:rFonts w:cs="Times New Roman"/>
      <w:color w:val="FFFFFF" w:themeColor="background1"/>
      <w:sz w:val="56"/>
    </w:rPr>
  </w:style>
  <w:style w:type="paragraph" w:customStyle="1" w:styleId="NieuwsbriefKop2">
    <w:name w:val="Nieuwsbrief Kop 2"/>
    <w:basedOn w:val="Standaard"/>
    <w:rsid w:val="00452D8E"/>
    <w:pPr>
      <w:spacing w:before="480" w:after="120"/>
    </w:pPr>
    <w:rPr>
      <w:b/>
      <w:i/>
      <w:sz w:val="22"/>
      <w:szCs w:val="24"/>
    </w:rPr>
  </w:style>
  <w:style w:type="paragraph" w:customStyle="1" w:styleId="NieuwsbriefScheidingslijn">
    <w:name w:val="Nieuwsbrief Scheidingslijn"/>
    <w:basedOn w:val="Standaard"/>
    <w:rsid w:val="00E2610B"/>
    <w:pPr>
      <w:spacing w:before="240" w:after="100" w:afterAutospacing="1"/>
    </w:pPr>
    <w:rPr>
      <w:rFonts w:cs="Times New Roman"/>
      <w:color w:val="004D43"/>
      <w:sz w:val="16"/>
    </w:rPr>
  </w:style>
  <w:style w:type="paragraph" w:customStyle="1" w:styleId="LeergangHoofdkop">
    <w:name w:val="Leergang Hoofdkop"/>
    <w:basedOn w:val="Standaard"/>
    <w:rsid w:val="00B736FC"/>
    <w:rPr>
      <w:sz w:val="40"/>
    </w:rPr>
  </w:style>
  <w:style w:type="paragraph" w:customStyle="1" w:styleId="NieuwsbriefKop1nastreep">
    <w:name w:val="Nieuwsbrief Kop 1 na streep"/>
    <w:basedOn w:val="Standaard"/>
    <w:rsid w:val="00EC7B68"/>
    <w:pPr>
      <w:spacing w:before="240" w:after="160"/>
    </w:pPr>
    <w:rPr>
      <w:rFonts w:cs="Times New Roman"/>
      <w:b/>
      <w:bCs/>
      <w:sz w:val="28"/>
    </w:rPr>
  </w:style>
  <w:style w:type="paragraph" w:customStyle="1" w:styleId="NieuwsbriefKop3bovenaan">
    <w:name w:val="Nieuwsbrief Kop 3 bovenaan"/>
    <w:basedOn w:val="NieuwsbriefKop3"/>
    <w:rsid w:val="00BA6CCC"/>
    <w:pPr>
      <w:spacing w:before="360"/>
    </w:pPr>
  </w:style>
  <w:style w:type="paragraph" w:customStyle="1" w:styleId="NieuwsbriefKop1intekst">
    <w:name w:val="Nieuwsbrief Kop 1 in tekst"/>
    <w:basedOn w:val="Standaard"/>
    <w:rsid w:val="00EC7B68"/>
    <w:pPr>
      <w:spacing w:before="720" w:after="160"/>
    </w:pPr>
    <w:rPr>
      <w:rFonts w:cs="Times New Roman"/>
      <w:b/>
      <w:bCs/>
      <w:sz w:val="28"/>
    </w:rPr>
  </w:style>
  <w:style w:type="paragraph" w:customStyle="1" w:styleId="NieuwsbriefLijstalinea">
    <w:name w:val="Nieuwsbrief Lijstalinea"/>
    <w:basedOn w:val="Standaard"/>
    <w:rsid w:val="00452D8E"/>
    <w:pPr>
      <w:ind w:left="284" w:hanging="284"/>
    </w:pPr>
    <w:rPr>
      <w:rFonts w:cs="Times New Roman"/>
    </w:rPr>
  </w:style>
  <w:style w:type="paragraph" w:styleId="Lijstalinea">
    <w:name w:val="List Paragraph"/>
    <w:basedOn w:val="Standaard"/>
    <w:uiPriority w:val="34"/>
    <w:qFormat/>
    <w:rsid w:val="009D4CD3"/>
    <w:pPr>
      <w:ind w:left="720"/>
      <w:contextualSpacing/>
    </w:pPr>
  </w:style>
  <w:style w:type="paragraph" w:customStyle="1" w:styleId="StijlNieuwsbriefKop2bovenaan">
    <w:name w:val="Stijl Nieuwsbrief Kop 2 bovenaan"/>
    <w:basedOn w:val="NieuwsbriefKop2"/>
    <w:rsid w:val="006B0F5B"/>
    <w:pPr>
      <w:spacing w:before="360"/>
    </w:pPr>
    <w:rPr>
      <w:rFonts w:cs="Times New Roman"/>
      <w:bCs/>
      <w:iCs/>
      <w:szCs w:val="20"/>
    </w:rPr>
  </w:style>
  <w:style w:type="paragraph" w:customStyle="1" w:styleId="NieuwsbriefKop2bovenaan">
    <w:name w:val="Nieuwsbrief Kop 2 bovenaan"/>
    <w:basedOn w:val="NieuwsbriefKop2"/>
    <w:rsid w:val="006B0F5B"/>
    <w:pPr>
      <w:spacing w:before="360"/>
    </w:pPr>
    <w:rPr>
      <w:rFonts w:cs="Times New Roman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artensacademie@maartensklinie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url?sa=i&amp;rct=j&amp;q=&amp;esrc=s&amp;source=images&amp;cd=&amp;cad=rja&amp;uact=8&amp;ved=0ahUKEwi_nsK35urNAhXHKsAKHVK2AvwQjRwIBw&amp;url=http://www.magnus.nl/nieuws/magtalks-programma-2015/&amp;bvm=bv.126130881,d.d2s&amp;psig=AFQjCNEVFR0FjqLs-rfKVfYqmYSukwOzgw&amp;ust=14683054981162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que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5A9A-9DC6-4965-BFD4-6C99881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2</Pages>
  <Words>612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Derksen - Kuijpers, Karin</cp:lastModifiedBy>
  <cp:revision>5</cp:revision>
  <cp:lastPrinted>2016-07-11T07:28:00Z</cp:lastPrinted>
  <dcterms:created xsi:type="dcterms:W3CDTF">2020-05-26T12:37:00Z</dcterms:created>
  <dcterms:modified xsi:type="dcterms:W3CDTF">2020-06-12T13:37:00Z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